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9451B8">
      <w:pPr>
        <w:rPr>
          <w:rFonts w:ascii="Arial" w:hAnsi="Arial" w:cs="Arial"/>
          <w:sz w:val="22"/>
          <w:szCs w:val="22"/>
        </w:rPr>
      </w:pPr>
    </w:p>
    <w:p w:rsidR="009451B8" w:rsidRDefault="009451B8">
      <w:pPr>
        <w:rPr>
          <w:rFonts w:ascii="Arial" w:hAnsi="Arial" w:cs="Arial"/>
          <w:sz w:val="22"/>
          <w:szCs w:val="22"/>
        </w:rPr>
      </w:pPr>
    </w:p>
    <w:p w:rsidR="009451B8" w:rsidRDefault="009451B8" w:rsidP="009451B8">
      <w:pPr>
        <w:jc w:val="center"/>
        <w:rPr>
          <w:rFonts w:ascii="Arial" w:hAnsi="Arial" w:cs="Arial"/>
          <w:sz w:val="22"/>
          <w:szCs w:val="22"/>
        </w:rPr>
      </w:pPr>
      <w:r>
        <w:rPr>
          <w:rFonts w:ascii="Arial" w:hAnsi="Arial" w:cs="Arial"/>
          <w:sz w:val="22"/>
          <w:szCs w:val="22"/>
        </w:rPr>
        <w:t>THE HOPE THAT ANCHORS OUR SOULS</w:t>
      </w:r>
      <w:bookmarkStart w:id="0" w:name="_GoBack"/>
      <w:bookmarkEnd w:id="0"/>
    </w:p>
    <w:p w:rsidR="00296C4B" w:rsidRDefault="00296C4B">
      <w:pPr>
        <w:rPr>
          <w:rFonts w:ascii="Arial" w:hAnsi="Arial" w:cs="Arial"/>
          <w:sz w:val="22"/>
          <w:szCs w:val="22"/>
        </w:rPr>
      </w:pPr>
    </w:p>
    <w:p w:rsidR="00296C4B" w:rsidRDefault="00296C4B">
      <w:pPr>
        <w:rPr>
          <w:rFonts w:ascii="Arial" w:hAnsi="Arial" w:cs="Arial"/>
          <w:sz w:val="22"/>
          <w:szCs w:val="22"/>
        </w:rPr>
      </w:pPr>
      <w:r>
        <w:rPr>
          <w:rFonts w:ascii="Arial" w:hAnsi="Arial" w:cs="Arial"/>
          <w:sz w:val="22"/>
          <w:szCs w:val="22"/>
        </w:rPr>
        <w:t>Hebrews 5:11–6:20</w:t>
      </w:r>
    </w:p>
    <w:p w:rsidR="00296C4B" w:rsidRDefault="00296C4B">
      <w:pPr>
        <w:rPr>
          <w:rFonts w:ascii="Arial" w:hAnsi="Arial" w:cs="Arial"/>
          <w:sz w:val="22"/>
          <w:szCs w:val="22"/>
        </w:rPr>
      </w:pPr>
      <w:r>
        <w:rPr>
          <w:rFonts w:ascii="Arial" w:hAnsi="Arial" w:cs="Arial"/>
          <w:sz w:val="22"/>
          <w:szCs w:val="22"/>
        </w:rPr>
        <w:t>Key Verse: 6:19</w:t>
      </w:r>
    </w:p>
    <w:p w:rsidR="00296C4B" w:rsidRDefault="00296C4B">
      <w:pPr>
        <w:rPr>
          <w:rFonts w:ascii="Arial" w:hAnsi="Arial" w:cs="Arial"/>
          <w:sz w:val="22"/>
          <w:szCs w:val="22"/>
        </w:rPr>
      </w:pPr>
    </w:p>
    <w:p w:rsidR="00296C4B" w:rsidRDefault="00296C4B" w:rsidP="00296C4B">
      <w:pPr>
        <w:pStyle w:val="ListParagraph"/>
        <w:numPr>
          <w:ilvl w:val="0"/>
          <w:numId w:val="1"/>
        </w:numPr>
        <w:rPr>
          <w:rFonts w:ascii="Arial" w:hAnsi="Arial" w:cs="Arial"/>
          <w:sz w:val="22"/>
          <w:szCs w:val="22"/>
        </w:rPr>
      </w:pPr>
      <w:r>
        <w:rPr>
          <w:rFonts w:ascii="Arial" w:hAnsi="Arial" w:cs="Arial"/>
          <w:sz w:val="22"/>
          <w:szCs w:val="22"/>
        </w:rPr>
        <w:t xml:space="preserve"> What did the author want to explain? (5:11a; cf. 5:10) Why was it hard to make it clear to his readers? (11b) How did he rebuke them? (12a) What does the analogy of “milk” and “solid food” teach us about </w:t>
      </w:r>
      <w:r w:rsidR="00E00AFE">
        <w:rPr>
          <w:rFonts w:ascii="Arial" w:hAnsi="Arial" w:cs="Arial"/>
          <w:sz w:val="22"/>
          <w:szCs w:val="22"/>
        </w:rPr>
        <w:t xml:space="preserve">how we can grow to </w:t>
      </w:r>
      <w:r>
        <w:rPr>
          <w:rFonts w:ascii="Arial" w:hAnsi="Arial" w:cs="Arial"/>
          <w:sz w:val="22"/>
          <w:szCs w:val="22"/>
        </w:rPr>
        <w:t xml:space="preserve">spiritual </w:t>
      </w:r>
      <w:r w:rsidR="00E00AFE">
        <w:rPr>
          <w:rFonts w:ascii="Arial" w:hAnsi="Arial" w:cs="Arial"/>
          <w:sz w:val="22"/>
          <w:szCs w:val="22"/>
        </w:rPr>
        <w:t>maturity</w:t>
      </w:r>
      <w:r>
        <w:rPr>
          <w:rFonts w:ascii="Arial" w:hAnsi="Arial" w:cs="Arial"/>
          <w:sz w:val="22"/>
          <w:szCs w:val="22"/>
        </w:rPr>
        <w:t>? (12b–14)</w:t>
      </w:r>
    </w:p>
    <w:p w:rsidR="00296C4B" w:rsidRDefault="00296C4B" w:rsidP="00296C4B">
      <w:pPr>
        <w:rPr>
          <w:rFonts w:ascii="Arial" w:hAnsi="Arial" w:cs="Arial"/>
          <w:sz w:val="22"/>
          <w:szCs w:val="22"/>
        </w:rPr>
      </w:pPr>
    </w:p>
    <w:p w:rsidR="00296C4B" w:rsidRPr="005A3E10" w:rsidRDefault="00FF3848" w:rsidP="005A3E10">
      <w:pPr>
        <w:pStyle w:val="ListParagraph"/>
        <w:numPr>
          <w:ilvl w:val="0"/>
          <w:numId w:val="1"/>
        </w:numPr>
        <w:rPr>
          <w:rFonts w:ascii="Arial" w:hAnsi="Arial" w:cs="Arial"/>
          <w:sz w:val="22"/>
          <w:szCs w:val="22"/>
        </w:rPr>
      </w:pPr>
      <w:r>
        <w:rPr>
          <w:rFonts w:ascii="Arial" w:hAnsi="Arial" w:cs="Arial"/>
          <w:sz w:val="22"/>
          <w:szCs w:val="22"/>
        </w:rPr>
        <w:t xml:space="preserve"> </w:t>
      </w:r>
      <w:r w:rsidR="00E00AFE">
        <w:rPr>
          <w:rFonts w:ascii="Arial" w:hAnsi="Arial" w:cs="Arial"/>
          <w:sz w:val="22"/>
          <w:szCs w:val="22"/>
        </w:rPr>
        <w:t>W</w:t>
      </w:r>
      <w:r>
        <w:rPr>
          <w:rFonts w:ascii="Arial" w:hAnsi="Arial" w:cs="Arial"/>
          <w:sz w:val="22"/>
          <w:szCs w:val="22"/>
        </w:rPr>
        <w:t xml:space="preserve">hat </w:t>
      </w:r>
      <w:r w:rsidR="00E00AFE">
        <w:rPr>
          <w:rFonts w:ascii="Arial" w:hAnsi="Arial" w:cs="Arial"/>
          <w:sz w:val="22"/>
          <w:szCs w:val="22"/>
        </w:rPr>
        <w:t xml:space="preserve">are the </w:t>
      </w:r>
      <w:r>
        <w:rPr>
          <w:rFonts w:ascii="Arial" w:hAnsi="Arial" w:cs="Arial"/>
          <w:sz w:val="22"/>
          <w:szCs w:val="22"/>
        </w:rPr>
        <w:t>“elementary teachings” the author want</w:t>
      </w:r>
      <w:r w:rsidR="00E00AFE">
        <w:rPr>
          <w:rFonts w:ascii="Arial" w:hAnsi="Arial" w:cs="Arial"/>
          <w:sz w:val="22"/>
          <w:szCs w:val="22"/>
        </w:rPr>
        <w:t>s</w:t>
      </w:r>
      <w:r>
        <w:rPr>
          <w:rFonts w:ascii="Arial" w:hAnsi="Arial" w:cs="Arial"/>
          <w:sz w:val="22"/>
          <w:szCs w:val="22"/>
        </w:rPr>
        <w:t xml:space="preserve"> us to move beyond</w:t>
      </w:r>
      <w:r w:rsidR="00E00AFE">
        <w:rPr>
          <w:rFonts w:ascii="Arial" w:hAnsi="Arial" w:cs="Arial"/>
          <w:sz w:val="22"/>
          <w:szCs w:val="22"/>
        </w:rPr>
        <w:t>, and in what sense do they lay a foundation for our Christian life</w:t>
      </w:r>
      <w:r>
        <w:rPr>
          <w:rFonts w:ascii="Arial" w:hAnsi="Arial" w:cs="Arial"/>
          <w:sz w:val="22"/>
          <w:szCs w:val="22"/>
        </w:rPr>
        <w:t>? (6:1–3)</w:t>
      </w:r>
      <w:r w:rsidR="00E00AFE" w:rsidRPr="005A3E10">
        <w:rPr>
          <w:rFonts w:ascii="Arial" w:hAnsi="Arial" w:cs="Arial"/>
          <w:sz w:val="22"/>
          <w:szCs w:val="22"/>
        </w:rPr>
        <w:t xml:space="preserve"> </w:t>
      </w:r>
      <w:r w:rsidRPr="005A3E10">
        <w:rPr>
          <w:rFonts w:ascii="Arial" w:hAnsi="Arial" w:cs="Arial"/>
          <w:sz w:val="22"/>
          <w:szCs w:val="22"/>
        </w:rPr>
        <w:t xml:space="preserve">How does </w:t>
      </w:r>
      <w:r w:rsidR="00E00AFE" w:rsidRPr="005A3E10">
        <w:rPr>
          <w:rFonts w:ascii="Arial" w:hAnsi="Arial" w:cs="Arial"/>
          <w:sz w:val="22"/>
          <w:szCs w:val="22"/>
        </w:rPr>
        <w:t>the author</w:t>
      </w:r>
      <w:r w:rsidRPr="005A3E10">
        <w:rPr>
          <w:rFonts w:ascii="Arial" w:hAnsi="Arial" w:cs="Arial"/>
          <w:sz w:val="22"/>
          <w:szCs w:val="22"/>
        </w:rPr>
        <w:t xml:space="preserve"> </w:t>
      </w:r>
      <w:r w:rsidR="00E00AFE" w:rsidRPr="005A3E10">
        <w:rPr>
          <w:rFonts w:ascii="Arial" w:hAnsi="Arial" w:cs="Arial"/>
          <w:sz w:val="22"/>
          <w:szCs w:val="22"/>
        </w:rPr>
        <w:t>describe the spiritual danger of falling away</w:t>
      </w:r>
      <w:r w:rsidRPr="005A3E10">
        <w:rPr>
          <w:rFonts w:ascii="Arial" w:hAnsi="Arial" w:cs="Arial"/>
          <w:sz w:val="22"/>
          <w:szCs w:val="22"/>
        </w:rPr>
        <w:t xml:space="preserve">? (4–6) </w:t>
      </w:r>
      <w:r w:rsidR="00E00AFE" w:rsidRPr="005A3E10">
        <w:rPr>
          <w:rFonts w:ascii="Arial" w:hAnsi="Arial" w:cs="Arial"/>
          <w:sz w:val="22"/>
          <w:szCs w:val="22"/>
        </w:rPr>
        <w:t>What two kinds of lands does he contrast, and what does this teach us? (7,8)</w:t>
      </w:r>
    </w:p>
    <w:p w:rsidR="00E00AFE" w:rsidRPr="00E00AFE" w:rsidRDefault="00E00AFE" w:rsidP="00E00AFE">
      <w:pPr>
        <w:pStyle w:val="ListParagraph"/>
        <w:rPr>
          <w:rFonts w:ascii="Arial" w:hAnsi="Arial" w:cs="Arial"/>
          <w:sz w:val="22"/>
          <w:szCs w:val="22"/>
        </w:rPr>
      </w:pPr>
    </w:p>
    <w:p w:rsidR="00E00AFE" w:rsidRDefault="00E00AFE" w:rsidP="00296C4B">
      <w:pPr>
        <w:pStyle w:val="ListParagraph"/>
        <w:numPr>
          <w:ilvl w:val="0"/>
          <w:numId w:val="1"/>
        </w:numPr>
        <w:rPr>
          <w:rFonts w:ascii="Arial" w:hAnsi="Arial" w:cs="Arial"/>
          <w:sz w:val="22"/>
          <w:szCs w:val="22"/>
        </w:rPr>
      </w:pPr>
      <w:r>
        <w:rPr>
          <w:rFonts w:ascii="Arial" w:hAnsi="Arial" w:cs="Arial"/>
          <w:sz w:val="22"/>
          <w:szCs w:val="22"/>
        </w:rPr>
        <w:t xml:space="preserve"> How does the author comfort his readers? (9,10) </w:t>
      </w:r>
      <w:r w:rsidR="005A3E10">
        <w:rPr>
          <w:rFonts w:ascii="Arial" w:hAnsi="Arial" w:cs="Arial"/>
          <w:sz w:val="22"/>
          <w:szCs w:val="22"/>
        </w:rPr>
        <w:t>What does he urge them to do, and why? (11) What does it mean to become spiritually “lazy,” and what should we do instead? (12)</w:t>
      </w:r>
    </w:p>
    <w:p w:rsidR="005A3E10" w:rsidRPr="005A3E10" w:rsidRDefault="005A3E10" w:rsidP="005A3E10">
      <w:pPr>
        <w:pStyle w:val="ListParagraph"/>
        <w:rPr>
          <w:rFonts w:ascii="Arial" w:hAnsi="Arial" w:cs="Arial"/>
          <w:sz w:val="22"/>
          <w:szCs w:val="22"/>
        </w:rPr>
      </w:pPr>
    </w:p>
    <w:p w:rsidR="005A3E10" w:rsidRDefault="005A3E10" w:rsidP="00296C4B">
      <w:pPr>
        <w:pStyle w:val="ListParagraph"/>
        <w:numPr>
          <w:ilvl w:val="0"/>
          <w:numId w:val="1"/>
        </w:numPr>
        <w:rPr>
          <w:rFonts w:ascii="Arial" w:hAnsi="Arial" w:cs="Arial"/>
          <w:sz w:val="22"/>
          <w:szCs w:val="22"/>
        </w:rPr>
      </w:pPr>
      <w:r>
        <w:rPr>
          <w:rFonts w:ascii="Arial" w:hAnsi="Arial" w:cs="Arial"/>
          <w:sz w:val="22"/>
          <w:szCs w:val="22"/>
        </w:rPr>
        <w:t xml:space="preserve"> How did God help Abraham believe his promise and wait patiently? (13–16) Why do people swear oaths? (16) Likewise, how does God’s oath still help the heirs of what he promised? (17,18)</w:t>
      </w:r>
    </w:p>
    <w:p w:rsidR="005A3E10" w:rsidRPr="005A3E10" w:rsidRDefault="005A3E10" w:rsidP="005A3E10">
      <w:pPr>
        <w:pStyle w:val="ListParagraph"/>
        <w:rPr>
          <w:rFonts w:ascii="Arial" w:hAnsi="Arial" w:cs="Arial"/>
          <w:sz w:val="22"/>
          <w:szCs w:val="22"/>
        </w:rPr>
      </w:pPr>
    </w:p>
    <w:p w:rsidR="005A3E10" w:rsidRPr="00296C4B" w:rsidRDefault="005A3E10" w:rsidP="00296C4B">
      <w:pPr>
        <w:pStyle w:val="ListParagraph"/>
        <w:numPr>
          <w:ilvl w:val="0"/>
          <w:numId w:val="1"/>
        </w:numPr>
        <w:rPr>
          <w:rFonts w:ascii="Arial" w:hAnsi="Arial" w:cs="Arial"/>
          <w:sz w:val="22"/>
          <w:szCs w:val="22"/>
        </w:rPr>
      </w:pPr>
      <w:r>
        <w:rPr>
          <w:rFonts w:ascii="Arial" w:hAnsi="Arial" w:cs="Arial"/>
          <w:sz w:val="22"/>
          <w:szCs w:val="22"/>
        </w:rPr>
        <w:t xml:space="preserve"> What is the main point of our Christian hope? (cf. 11:16; 12:22,28a; 13:14) Read verse 19. </w:t>
      </w:r>
      <w:r w:rsidR="009451B8">
        <w:rPr>
          <w:rFonts w:ascii="Arial" w:hAnsi="Arial" w:cs="Arial"/>
          <w:sz w:val="22"/>
          <w:szCs w:val="22"/>
        </w:rPr>
        <w:t>How does this hope gives our souls an anchor, and why do we need this</w:t>
      </w:r>
      <w:r>
        <w:rPr>
          <w:rFonts w:ascii="Arial" w:hAnsi="Arial" w:cs="Arial"/>
          <w:sz w:val="22"/>
          <w:szCs w:val="22"/>
        </w:rPr>
        <w:t xml:space="preserve">? </w:t>
      </w:r>
      <w:r w:rsidR="009451B8">
        <w:rPr>
          <w:rFonts w:ascii="Arial" w:hAnsi="Arial" w:cs="Arial"/>
          <w:sz w:val="22"/>
          <w:szCs w:val="22"/>
        </w:rPr>
        <w:t xml:space="preserve">Why is Jesus the source of our hope? (19b,20) </w:t>
      </w:r>
    </w:p>
    <w:sectPr w:rsidR="005A3E10" w:rsidRPr="00296C4B"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40278"/>
    <w:multiLevelType w:val="hybridMultilevel"/>
    <w:tmpl w:val="70C25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C4B"/>
    <w:rsid w:val="00296C4B"/>
    <w:rsid w:val="003F0DA8"/>
    <w:rsid w:val="005A3E10"/>
    <w:rsid w:val="009451B8"/>
    <w:rsid w:val="00A74893"/>
    <w:rsid w:val="00E00AFE"/>
    <w:rsid w:val="00FF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FB5782"/>
  <w15:chartTrackingRefBased/>
  <w15:docId w15:val="{0363EA17-E9C2-2240-8D7F-1BD313E4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cp:revision>
  <dcterms:created xsi:type="dcterms:W3CDTF">2020-01-03T14:03:00Z</dcterms:created>
  <dcterms:modified xsi:type="dcterms:W3CDTF">2020-01-03T15:13:00Z</dcterms:modified>
</cp:coreProperties>
</file>